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5" w:lineRule="atLeast"/>
        <w:ind w:left="0" w:leftChars="0" w:firstLine="0" w:firstLineChars="0"/>
        <w:rPr>
          <w:rFonts w:hint="eastAsia" w:ascii="黑体" w:hAnsi="黑体" w:eastAsia="黑体"/>
          <w:sz w:val="24"/>
        </w:rPr>
      </w:pPr>
    </w:p>
    <w:p>
      <w:pPr>
        <w:widowControl w:val="0"/>
        <w:spacing w:line="485" w:lineRule="atLeast"/>
        <w:ind w:left="0" w:leftChars="0" w:firstLine="0" w:firstLineChars="0"/>
        <w:rPr>
          <w:rFonts w:hint="eastAsia" w:ascii="黑体" w:hAnsi="黑体" w:eastAsia="黑体"/>
          <w:sz w:val="24"/>
          <w:lang w:val="en-US" w:eastAsia="zh-CN"/>
        </w:rPr>
      </w:pPr>
      <w:bookmarkStart w:id="0" w:name="_GoBack"/>
      <w:bookmarkEnd w:id="0"/>
      <w:r>
        <w:rPr>
          <w:rFonts w:hint="eastAsia" w:ascii="黑体" w:hAnsi="黑体" w:eastAsia="黑体"/>
          <w:sz w:val="24"/>
        </w:rPr>
        <w:t>件</w:t>
      </w:r>
      <w:r>
        <w:rPr>
          <w:rFonts w:hint="eastAsia" w:ascii="黑体" w:hAnsi="黑体" w:eastAsia="黑体"/>
          <w:sz w:val="24"/>
          <w:lang w:val="en-US" w:eastAsia="zh-CN"/>
        </w:rPr>
        <w:t>2</w:t>
      </w:r>
      <w:r>
        <w:rPr>
          <w:rFonts w:hint="eastAsia" w:ascii="黑体" w:hAnsi="黑体" w:eastAsia="黑体"/>
          <w:sz w:val="24"/>
        </w:rPr>
        <w:t>：</w:t>
      </w:r>
    </w:p>
    <w:p>
      <w:pPr>
        <w:widowControl w:val="0"/>
        <w:spacing w:line="610" w:lineRule="atLeast"/>
        <w:ind w:left="0" w:leftChars="0" w:firstLine="0" w:firstLineChars="0"/>
        <w:jc w:val="both"/>
        <w:rPr>
          <w:rFonts w:hint="eastAsia" w:ascii="华文中宋" w:hAnsi="华文中宋" w:eastAsia="华文中宋"/>
          <w:b/>
          <w:sz w:val="36"/>
        </w:rPr>
      </w:pPr>
    </w:p>
    <w:p>
      <w:pPr>
        <w:widowControl w:val="0"/>
        <w:spacing w:line="548" w:lineRule="atLeast"/>
        <w:ind w:left="0" w:leftChars="0" w:firstLine="0" w:firstLineChars="0"/>
        <w:jc w:val="center"/>
        <w:rPr>
          <w:rFonts w:hint="eastAsia" w:ascii="华文中宋" w:hAnsi="华文中宋" w:eastAsia="华文中宋"/>
          <w:b/>
          <w:sz w:val="44"/>
        </w:rPr>
      </w:pPr>
      <w:r>
        <w:rPr>
          <w:rFonts w:hint="eastAsia" w:ascii="华文中宋" w:hAnsi="华文中宋" w:eastAsia="华文中宋"/>
          <w:b/>
          <w:sz w:val="44"/>
          <w:lang w:eastAsia="zh-CN"/>
        </w:rPr>
        <w:t>集中轮训班学员</w:t>
      </w:r>
      <w:r>
        <w:rPr>
          <w:rFonts w:hint="eastAsia" w:ascii="华文中宋" w:hAnsi="华文中宋" w:eastAsia="华文中宋"/>
          <w:b/>
          <w:sz w:val="44"/>
        </w:rPr>
        <w:t>报名表</w:t>
      </w:r>
    </w:p>
    <w:p>
      <w:pPr>
        <w:widowControl w:val="0"/>
        <w:spacing w:line="548" w:lineRule="atLeast"/>
        <w:ind w:firstLine="567"/>
        <w:rPr>
          <w:rFonts w:hint="eastAsia" w:ascii="宋体" w:hAnsi="宋体"/>
          <w:sz w:val="24"/>
        </w:rPr>
      </w:pPr>
    </w:p>
    <w:p>
      <w:pPr>
        <w:widowControl w:val="0"/>
        <w:spacing w:line="548" w:lineRule="atLeast"/>
        <w:ind w:left="0" w:leftChars="0" w:firstLine="0" w:firstLineChars="0"/>
        <w:rPr>
          <w:rFonts w:hint="eastAsia" w:ascii="宋体" w:hAnsi="宋体"/>
          <w:sz w:val="28"/>
          <w:szCs w:val="28"/>
          <w:lang w:eastAsia="zh-CN"/>
        </w:rPr>
      </w:pPr>
      <w:r>
        <w:rPr>
          <w:rFonts w:hint="eastAsia" w:ascii="宋体" w:hAnsi="宋体"/>
          <w:sz w:val="24"/>
          <w:szCs w:val="24"/>
        </w:rPr>
        <w:t xml:space="preserve">填报单位：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填报人：    </w:t>
      </w:r>
      <w:r>
        <w:rPr>
          <w:rFonts w:hint="eastAsia" w:ascii="宋体" w:hAnsi="宋体"/>
          <w:sz w:val="24"/>
          <w:szCs w:val="24"/>
          <w:lang w:val="en-US" w:eastAsia="zh-CN"/>
        </w:rPr>
        <w:t xml:space="preserve">         </w:t>
      </w:r>
      <w:r>
        <w:rPr>
          <w:rFonts w:hint="eastAsia" w:ascii="宋体" w:hAnsi="宋体"/>
          <w:sz w:val="24"/>
          <w:szCs w:val="24"/>
        </w:rPr>
        <w:t xml:space="preserve"> 联系电话</w:t>
      </w:r>
      <w:r>
        <w:rPr>
          <w:rFonts w:hint="eastAsia" w:ascii="宋体" w:hAnsi="宋体"/>
          <w:sz w:val="24"/>
          <w:szCs w:val="24"/>
          <w:lang w:eastAsia="zh-CN"/>
        </w:rPr>
        <w:t>：</w:t>
      </w:r>
    </w:p>
    <w:tbl>
      <w:tblPr>
        <w:tblStyle w:val="5"/>
        <w:tblpPr w:leftFromText="180" w:rightFromText="180" w:vertAnchor="text" w:horzAnchor="page" w:tblpX="1961" w:tblpY="275"/>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43"/>
        <w:gridCol w:w="2490"/>
        <w:gridCol w:w="1938"/>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  务</w:t>
            </w: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第一/二期</w:t>
            </w: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429"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943"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2490"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938" w:type="dxa"/>
            <w:vAlign w:val="center"/>
          </w:tcPr>
          <w:p>
            <w:pPr>
              <w:numPr>
                <w:ilvl w:val="0"/>
                <w:numId w:val="0"/>
              </w:numPr>
              <w:jc w:val="center"/>
              <w:rPr>
                <w:rFonts w:hint="eastAsia" w:ascii="宋体" w:hAnsi="宋体" w:eastAsia="宋体" w:cs="宋体"/>
                <w:sz w:val="24"/>
                <w:szCs w:val="24"/>
                <w:vertAlign w:val="baseline"/>
                <w:lang w:val="en-US" w:eastAsia="zh-CN"/>
              </w:rPr>
            </w:pPr>
          </w:p>
        </w:tc>
        <w:tc>
          <w:tcPr>
            <w:tcW w:w="1740" w:type="dxa"/>
            <w:vAlign w:val="center"/>
          </w:tcPr>
          <w:p>
            <w:pPr>
              <w:numPr>
                <w:ilvl w:val="0"/>
                <w:numId w:val="0"/>
              </w:numPr>
              <w:jc w:val="center"/>
              <w:rPr>
                <w:rFonts w:hint="eastAsia" w:ascii="宋体" w:hAnsi="宋体" w:eastAsia="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备注：1.各单位要严格按照分配的人数进行报名，注明参加培训期数。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60" w:firstLineChars="4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4"/>
          <w:szCs w:val="24"/>
          <w:lang w:val="en-US" w:eastAsia="zh-CN"/>
        </w:rPr>
        <w:t>2.严格按照要求和通知的时间参加培训。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28"/>
          <w:szCs w:val="28"/>
          <w:lang w:val="en-US" w:eastAsia="zh-CN"/>
        </w:rPr>
      </w:pPr>
    </w:p>
    <w:p>
      <w:pPr>
        <w:widowControl w:val="0"/>
        <w:spacing w:line="485" w:lineRule="atLeast"/>
        <w:ind w:left="0" w:leftChars="0" w:firstLine="0" w:firstLineChars="0"/>
        <w:rPr>
          <w:rFonts w:hint="eastAsia" w:ascii="黑体" w:hAnsi="黑体" w:eastAsia="黑体"/>
          <w:sz w:val="24"/>
          <w:lang w:val="en-US" w:eastAsia="zh-CN"/>
        </w:rPr>
      </w:pPr>
      <w:r>
        <w:rPr>
          <w:rFonts w:hint="eastAsia" w:ascii="黑体" w:hAnsi="黑体" w:eastAsia="黑体"/>
          <w:sz w:val="24"/>
        </w:rPr>
        <w:t>附件</w:t>
      </w:r>
      <w:r>
        <w:rPr>
          <w:rFonts w:hint="eastAsia" w:ascii="黑体" w:hAnsi="黑体" w:eastAsia="黑体"/>
          <w:sz w:val="24"/>
          <w:lang w:val="en-US" w:eastAsia="zh-CN"/>
        </w:rPr>
        <w:t>3</w:t>
      </w:r>
      <w:r>
        <w:rPr>
          <w:rFonts w:hint="eastAsia"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
          <w:bCs/>
          <w:sz w:val="44"/>
          <w:szCs w:val="44"/>
        </w:rPr>
      </w:pPr>
      <w:r>
        <w:rPr>
          <w:rFonts w:hint="eastAsia" w:ascii="华文中宋" w:hAnsi="华文中宋" w:eastAsia="华文中宋" w:cs="华文中宋"/>
          <w:spacing w:val="-20"/>
          <w:sz w:val="44"/>
          <w:szCs w:val="44"/>
        </w:rPr>
        <w:t>集中轮训班</w:t>
      </w:r>
      <w:r>
        <w:rPr>
          <w:rFonts w:hint="eastAsia" w:ascii="华文中宋" w:hAnsi="华文中宋" w:eastAsia="华文中宋" w:cs="华文中宋"/>
          <w:spacing w:val="-20"/>
          <w:sz w:val="44"/>
          <w:szCs w:val="44"/>
          <w:lang w:val="en-US" w:eastAsia="zh-CN"/>
        </w:rPr>
        <w:t>课程安排</w:t>
      </w:r>
    </w:p>
    <w:tbl>
      <w:tblPr>
        <w:tblStyle w:val="4"/>
        <w:tblpPr w:leftFromText="180" w:rightFromText="180" w:vertAnchor="text" w:horzAnchor="page" w:tblpX="1440" w:tblpY="258"/>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601"/>
        <w:gridCol w:w="5718"/>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9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时    间</w:t>
            </w:r>
          </w:p>
        </w:tc>
        <w:tc>
          <w:tcPr>
            <w:tcW w:w="5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课   程</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授课人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第一天</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上</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00</w:t>
            </w:r>
            <w:r>
              <w:rPr>
                <w:rFonts w:hint="eastAsia" w:ascii="仿宋" w:hAnsi="仿宋" w:eastAsia="仿宋" w:cs="仿宋"/>
                <w:kern w:val="0"/>
                <w:sz w:val="24"/>
                <w:szCs w:val="24"/>
              </w:rPr>
              <w:t>-9:</w:t>
            </w:r>
            <w:r>
              <w:rPr>
                <w:rFonts w:hint="eastAsia" w:ascii="仿宋" w:hAnsi="仿宋" w:eastAsia="仿宋" w:cs="仿宋"/>
                <w:kern w:val="0"/>
                <w:sz w:val="24"/>
                <w:szCs w:val="24"/>
                <w:lang w:val="en-US" w:eastAsia="zh-CN"/>
              </w:rPr>
              <w:t>20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报到，开班动员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2.十九届四中全会暨习近平总书记来陕考察重要讲话精神宣讲</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王继萍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下</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实现伟大复兴的“中国之治”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——十九届四中全会解读</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徐驰文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晚  上19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学习《习近平新时代中国特色社会主义思想学习纲要》、习近平总书记来陕考察重要讲话精神</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自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第二天</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上</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理论创新与制度创新是中国共产党实现治国理政能力现代化的基础</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康江峰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下</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1.学习习近平总书记来陕考察重要讲话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2.组织观看录像：徐启方书记在全市县处级主要领导干部学习习近平总书记来陕考察重要讲话专题学习班上的讲话</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杜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晚  上19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学习《习近平谈治国理政》、《〈决定〉辅导读本》《党的十九届四中全会〈决定〉辅导百问》</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自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第三天</w:t>
            </w: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上</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《中国共产党党和国家机关基层组织工作条例》解读</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张建波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eastAsia="zh-CN"/>
              </w:rPr>
            </w:pPr>
          </w:p>
        </w:tc>
        <w:tc>
          <w:tcPr>
            <w:tcW w:w="16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下</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0-1</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0</w:t>
            </w:r>
            <w:r>
              <w:rPr>
                <w:rFonts w:hint="eastAsia" w:ascii="仿宋" w:hAnsi="仿宋" w:eastAsia="仿宋" w:cs="仿宋"/>
                <w:kern w:val="0"/>
                <w:sz w:val="24"/>
                <w:szCs w:val="24"/>
              </w:rPr>
              <w:t>0</w:t>
            </w:r>
          </w:p>
        </w:tc>
        <w:tc>
          <w:tcPr>
            <w:tcW w:w="57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1.学习习近平总书记来陕考察重要指示精神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2.交流发言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 w:leftChars="0" w:right="0" w:rightChars="0"/>
              <w:jc w:val="left"/>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3.结业典礼</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杜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9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备 注</w:t>
            </w:r>
          </w:p>
        </w:tc>
        <w:tc>
          <w:tcPr>
            <w:tcW w:w="832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1.上课时间：上午9：00—12：00，下午14：00—17：00，提前15分钟到课。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2.上课地点：宝鸡海棠假日酒店2楼海棠厅（行政大道8号广电大厦西侧）。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3.注意课堂秩序，讲究卫生，上课关闭手机，专心听讲，做好笔记。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4.严格遵守纪律，不得迟到早退，有事必须向机关工委或市委组织部请假，每次课前坚持签到。</w:t>
            </w:r>
          </w:p>
        </w:tc>
      </w:tr>
    </w:tbl>
    <w:p>
      <w:pPr>
        <w:widowControl w:val="0"/>
        <w:numPr>
          <w:ilvl w:val="0"/>
          <w:numId w:val="0"/>
        </w:numPr>
        <w:jc w:val="both"/>
        <w:rPr>
          <w:rFonts w:hint="default" w:ascii="仿宋" w:hAnsi="仿宋" w:eastAsia="仿宋" w:cs="仿宋"/>
          <w:sz w:val="32"/>
          <w:szCs w:val="32"/>
          <w:lang w:val="en-US" w:eastAsia="zh-CN"/>
        </w:rPr>
      </w:pPr>
    </w:p>
    <w:sectPr>
      <w:pgSz w:w="11906" w:h="16838"/>
      <w:pgMar w:top="1701" w:right="1587"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4F28"/>
    <w:rsid w:val="035A6CF6"/>
    <w:rsid w:val="05DE2BDF"/>
    <w:rsid w:val="071213F5"/>
    <w:rsid w:val="07B84EBE"/>
    <w:rsid w:val="08D968EC"/>
    <w:rsid w:val="08F61A34"/>
    <w:rsid w:val="092F02BA"/>
    <w:rsid w:val="09D57472"/>
    <w:rsid w:val="0A7A3B9D"/>
    <w:rsid w:val="10AA3ABA"/>
    <w:rsid w:val="12284E3D"/>
    <w:rsid w:val="12585598"/>
    <w:rsid w:val="130A36D4"/>
    <w:rsid w:val="17077448"/>
    <w:rsid w:val="17236F4E"/>
    <w:rsid w:val="17546DC0"/>
    <w:rsid w:val="17C21018"/>
    <w:rsid w:val="180C52D8"/>
    <w:rsid w:val="192F5147"/>
    <w:rsid w:val="19E26BE7"/>
    <w:rsid w:val="1BD462E5"/>
    <w:rsid w:val="221C004E"/>
    <w:rsid w:val="23FD2C47"/>
    <w:rsid w:val="25F87A20"/>
    <w:rsid w:val="2A796C50"/>
    <w:rsid w:val="2C4A11CE"/>
    <w:rsid w:val="2E981195"/>
    <w:rsid w:val="2EF7328C"/>
    <w:rsid w:val="2F1D3515"/>
    <w:rsid w:val="312B65F1"/>
    <w:rsid w:val="315E34A4"/>
    <w:rsid w:val="32281867"/>
    <w:rsid w:val="324D0A17"/>
    <w:rsid w:val="33D01914"/>
    <w:rsid w:val="345E47DC"/>
    <w:rsid w:val="3580040E"/>
    <w:rsid w:val="36C979EA"/>
    <w:rsid w:val="375E2263"/>
    <w:rsid w:val="39BB6308"/>
    <w:rsid w:val="3ABE0C6E"/>
    <w:rsid w:val="3B1A5FBA"/>
    <w:rsid w:val="3B517B52"/>
    <w:rsid w:val="403011E0"/>
    <w:rsid w:val="43A5076F"/>
    <w:rsid w:val="45050A20"/>
    <w:rsid w:val="459670EE"/>
    <w:rsid w:val="45AB41D8"/>
    <w:rsid w:val="467439FE"/>
    <w:rsid w:val="475A00C8"/>
    <w:rsid w:val="4802345F"/>
    <w:rsid w:val="4B7B35BB"/>
    <w:rsid w:val="4BDD5C23"/>
    <w:rsid w:val="4C710322"/>
    <w:rsid w:val="4E967A70"/>
    <w:rsid w:val="4F687FA5"/>
    <w:rsid w:val="52BB5410"/>
    <w:rsid w:val="54C91069"/>
    <w:rsid w:val="589549C3"/>
    <w:rsid w:val="594D4C21"/>
    <w:rsid w:val="5D6756F6"/>
    <w:rsid w:val="5E2D2869"/>
    <w:rsid w:val="61B35472"/>
    <w:rsid w:val="61E34F43"/>
    <w:rsid w:val="624A2366"/>
    <w:rsid w:val="63BE42D5"/>
    <w:rsid w:val="64B03EB9"/>
    <w:rsid w:val="667B612F"/>
    <w:rsid w:val="68A301E9"/>
    <w:rsid w:val="6900120F"/>
    <w:rsid w:val="693A1B46"/>
    <w:rsid w:val="6A2556AC"/>
    <w:rsid w:val="6D9276BB"/>
    <w:rsid w:val="6DEE70B6"/>
    <w:rsid w:val="6E2D21C2"/>
    <w:rsid w:val="70517CE8"/>
    <w:rsid w:val="75984DB8"/>
    <w:rsid w:val="75D93486"/>
    <w:rsid w:val="76142C1D"/>
    <w:rsid w:val="7D456E03"/>
    <w:rsid w:val="7D604577"/>
    <w:rsid w:val="7DC4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2020-05-27T08:19:00Z</cp:lastPrinted>
  <dcterms:modified xsi:type="dcterms:W3CDTF">2020-05-28T01:04:14Z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